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4A" w:rsidRDefault="009B5F4A" w:rsidP="009B5F4A">
      <w:pPr>
        <w:pStyle w:val="ConsPlusNormal"/>
        <w:spacing w:before="460"/>
        <w:rPr>
          <w:b/>
          <w:sz w:val="36"/>
        </w:rPr>
      </w:pPr>
      <w:r>
        <w:rPr>
          <w:b/>
          <w:sz w:val="36"/>
        </w:rPr>
        <w:t>Каковы права и обязанности несовершеннолетних?</w:t>
      </w:r>
    </w:p>
    <w:p w:rsidR="009B5F4A" w:rsidRPr="009B5F4A" w:rsidRDefault="009B5F4A" w:rsidP="009B5F4A">
      <w:pPr>
        <w:pStyle w:val="ConsPlusNormal"/>
        <w:spacing w:before="460"/>
      </w:pPr>
      <w:r w:rsidRPr="009B5F4A">
        <w:t>Несовершеннолетние имеют право на получение семейного воспитания, на образование, получение содержания от своих родителей и других членов семьи и т.п. Права и обязанности детей, как правило, зависят от их возраста и сферы правоотношений.</w:t>
      </w:r>
    </w:p>
    <w:p w:rsidR="009B5F4A" w:rsidRPr="009B5F4A" w:rsidRDefault="009B5F4A" w:rsidP="009B5F4A">
      <w:pPr>
        <w:pStyle w:val="ConsPlusNormal"/>
        <w:jc w:val="both"/>
      </w:pPr>
    </w:p>
    <w:p w:rsidR="009B5F4A" w:rsidRPr="009B5F4A" w:rsidRDefault="009B5F4A" w:rsidP="009B5F4A">
      <w:pPr>
        <w:pStyle w:val="ConsPlusNormal"/>
        <w:spacing w:before="260"/>
        <w:jc w:val="both"/>
      </w:pPr>
      <w:r w:rsidRPr="009B5F4A">
        <w:t>Объем прав и обязанностей несовершеннолетнего лица зависит преимущественно от его возраста и сферы правоотношений. Рассмотрим далее некоторые особенности в разрезе отдельных сфер правоотношений.</w:t>
      </w:r>
    </w:p>
    <w:p w:rsidR="009B5F4A" w:rsidRPr="009B5F4A" w:rsidRDefault="009B5F4A" w:rsidP="009B5F4A">
      <w:pPr>
        <w:pStyle w:val="ConsPlusNormal"/>
        <w:jc w:val="both"/>
      </w:pPr>
    </w:p>
    <w:p w:rsidR="009B5F4A" w:rsidRPr="009B5F4A" w:rsidRDefault="009B5F4A" w:rsidP="009B5F4A">
      <w:pPr>
        <w:pStyle w:val="ConsPlusNormal"/>
        <w:outlineLvl w:val="0"/>
      </w:pPr>
      <w:r w:rsidRPr="009B5F4A">
        <w:rPr>
          <w:b/>
          <w:sz w:val="30"/>
        </w:rPr>
        <w:t>Семейные правоотношения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>В РФ установлен приоритет семейного воспитания детей. Помимо права на воспитание своими родителями ребенок, в частности, имеет право на образование, обеспечение его интересов, всестороннее развитие, получение содержания от своих родителей и других членов семьи (</w:t>
      </w:r>
      <w:hyperlink r:id="rId5" w:tooltip="&quot;Семейный кодекс Российской Федерации&quot; от 29.12.1995 N 223-ФЗ (ред. от 31.07.2023) (с изм. и доп., вступ. в силу с 26.10.2023) {КонсультантПлюс}">
        <w:r w:rsidRPr="009B5F4A">
          <w:t>п. 3 ст. 1</w:t>
        </w:r>
      </w:hyperlink>
      <w:r w:rsidRPr="009B5F4A">
        <w:t xml:space="preserve">, </w:t>
      </w:r>
      <w:hyperlink r:id="rId6" w:tooltip="&quot;Семейный кодекс Российской Федерации&quot; от 29.12.1995 N 223-ФЗ (ред. от 31.07.2023) (с изм. и доп., вступ. в силу с 26.10.2023) {КонсультантПлюс}">
        <w:r w:rsidRPr="009B5F4A">
          <w:t>п. 2 ст. 54</w:t>
        </w:r>
      </w:hyperlink>
      <w:r w:rsidRPr="009B5F4A">
        <w:t xml:space="preserve">, </w:t>
      </w:r>
      <w:hyperlink r:id="rId7" w:tooltip="&quot;Семейный кодекс Российской Федерации&quot; от 29.12.1995 N 223-ФЗ (ред. от 31.07.2023) (с изм. и доп., вступ. в силу с 26.10.2023) {КонсультантПлюс}">
        <w:r w:rsidRPr="009B5F4A">
          <w:t>п. 1 ст. 60</w:t>
        </w:r>
      </w:hyperlink>
      <w:r w:rsidRPr="009B5F4A">
        <w:t xml:space="preserve"> СК РФ).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В части права ребенка на получение содержания от родителей и других членов семьи см., например, </w:t>
      </w:r>
      <w:hyperlink r:id="rId8" w:tooltip="Ситуация: Какие имущественные права имеет несовершеннолетний ребенок? (&quot;Электронный журнал &quot;Азбука права&quot;, 2024) {КонсультантПлюс}">
        <w:r w:rsidRPr="009B5F4A">
          <w:t>ситуацию</w:t>
        </w:r>
      </w:hyperlink>
      <w:r w:rsidRPr="009B5F4A">
        <w:t xml:space="preserve"> "Какие имущественные права имеет несовершеннолетний ребенок?".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>В свою очередь, забота о детях, их воспитание, обеспечение получения детьми основного общего образования относятся к обязанностям родителей. Государство, обеспечивая приоритет семейного воспитания, берет на себя обязанности родителей в отношении детей, оставшихся без попечения (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9B5F4A">
          <w:t>ч. 2 ст. 38</w:t>
        </w:r>
      </w:hyperlink>
      <w:r w:rsidRPr="009B5F4A">
        <w:t xml:space="preserve">,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9B5F4A">
          <w:t>ч. 4 ст. 43</w:t>
        </w:r>
      </w:hyperlink>
      <w:r w:rsidRPr="009B5F4A">
        <w:t xml:space="preserve">,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9B5F4A">
          <w:t>ч. 4 ст. 67.1</w:t>
        </w:r>
      </w:hyperlink>
      <w:r w:rsidRPr="009B5F4A">
        <w:t xml:space="preserve"> Конституции РФ).</w:t>
      </w:r>
    </w:p>
    <w:p w:rsidR="009B5F4A" w:rsidRPr="009B5F4A" w:rsidRDefault="009B5F4A" w:rsidP="009B5F4A">
      <w:pPr>
        <w:pStyle w:val="ConsPlusNormal"/>
        <w:jc w:val="both"/>
      </w:pPr>
    </w:p>
    <w:p w:rsidR="009B5F4A" w:rsidRPr="009B5F4A" w:rsidRDefault="009B5F4A" w:rsidP="009B5F4A">
      <w:pPr>
        <w:pStyle w:val="ConsPlusNormal"/>
        <w:outlineLvl w:val="0"/>
      </w:pPr>
      <w:r w:rsidRPr="009B5F4A">
        <w:rPr>
          <w:b/>
          <w:sz w:val="30"/>
        </w:rPr>
        <w:t>Гражданские правоотношения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Гражданская правоспособность, то есть способность иметь гражданские права и </w:t>
      </w:r>
      <w:proofErr w:type="gramStart"/>
      <w:r w:rsidRPr="009B5F4A">
        <w:t>нести обязанности</w:t>
      </w:r>
      <w:proofErr w:type="gramEnd"/>
      <w:r w:rsidRPr="009B5F4A">
        <w:t>, возникает в момент рождения и прекращается со смертью. В свою очередь, способность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объеме, как правило, по достижении 18-летнего возраста (</w:t>
      </w:r>
      <w:hyperlink r:id="rId12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9B5F4A">
          <w:t>ст. ст. 17</w:t>
        </w:r>
      </w:hyperlink>
      <w:r w:rsidRPr="009B5F4A">
        <w:t xml:space="preserve">, </w:t>
      </w:r>
      <w:hyperlink r:id="rId13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9B5F4A">
          <w:t>21</w:t>
        </w:r>
      </w:hyperlink>
      <w:r w:rsidRPr="009B5F4A">
        <w:t xml:space="preserve"> ГК РФ).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>Так, например, малолетние в возрасте от 6 до 14 лет вправе самостоятельно совершать мелкие бытовые сделки, вследствие совершения которых у них возникают соответствующие гражданские права и обязанности (</w:t>
      </w:r>
      <w:proofErr w:type="spellStart"/>
      <w:r w:rsidRPr="009B5F4A">
        <w:fldChar w:fldCharType="begin"/>
      </w:r>
      <w:r w:rsidRPr="009B5F4A">
        <w:instrText xml:space="preserve"> HYPERLINK "https://login.consultant.ru/link/?req=doc&amp;base=LAW&amp;n=452991&amp;dst=100050" \o "\"Гражданский кодекс Российской Федерации (часть первая)\" от 30.11.1994 N 51-ФЗ (ред. от 24.07.2023) (с изм. и доп., вступ. в силу с 01.10.2023) {КонсультантПлюс}" \h </w:instrText>
      </w:r>
      <w:r w:rsidRPr="009B5F4A">
        <w:fldChar w:fldCharType="separate"/>
      </w:r>
      <w:r w:rsidRPr="009B5F4A">
        <w:t>пп</w:t>
      </w:r>
      <w:proofErr w:type="spellEnd"/>
      <w:r w:rsidRPr="009B5F4A">
        <w:t>. 1 п. 1 ст. 8</w:t>
      </w:r>
      <w:r w:rsidRPr="009B5F4A">
        <w:fldChar w:fldCharType="end"/>
      </w:r>
      <w:r w:rsidRPr="009B5F4A">
        <w:t xml:space="preserve">, </w:t>
      </w:r>
      <w:hyperlink r:id="rId14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proofErr w:type="spellStart"/>
        <w:r w:rsidRPr="009B5F4A">
          <w:t>пп</w:t>
        </w:r>
        <w:proofErr w:type="spellEnd"/>
        <w:r w:rsidRPr="009B5F4A">
          <w:t>. 1 п. 2 ст. 28</w:t>
        </w:r>
      </w:hyperlink>
      <w:r w:rsidRPr="009B5F4A">
        <w:t xml:space="preserve"> ГК РФ).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>В части ограничения гражданской дееспособности и гражданской процессуальной дееспособности детей в зависимости от их возраста, а также в части ответственности см., например, ситуации "Каковы особенности дееспособности несовершеннолетних (в том числе малолетних в возрасте до 14 лет; от 14 до 18 лет)?", "Какие сделки могут совершать несовершеннолетние?".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В </w:t>
      </w:r>
      <w:proofErr w:type="gramStart"/>
      <w:r w:rsidRPr="009B5F4A">
        <w:t>отношении</w:t>
      </w:r>
      <w:proofErr w:type="gramEnd"/>
      <w:r w:rsidRPr="009B5F4A">
        <w:t xml:space="preserve"> особенностей совершения сделок с имуществом несовершеннолетнего см., например, ситуации "Каковы особенности совершения сделок по отчуждению имущества несовершеннолетнего?", "Можно ли совершать сделки с недвижимостью, принадлежащей несовершеннолетним?".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>Наследование несовершеннолетними детьми также имеет некоторые особенности. Так, несовершеннолетние дети наследодателя при наличии завещания или наследственного договора имеют право на обязательную долю наследства (</w:t>
      </w:r>
      <w:hyperlink r:id="rId15" w:tooltip="&quot;Гражданский кодекс Российской Федерации (часть третья)&quot; от 26.11.2001 N 146-ФЗ (ред. от 24.07.2023) (с изм. и доп., вступ. в силу с 04.08.2023) {КонсультантПлюс}">
        <w:r w:rsidRPr="009B5F4A">
          <w:t>п. 6 ст. 1140.1</w:t>
        </w:r>
      </w:hyperlink>
      <w:r w:rsidRPr="009B5F4A">
        <w:t xml:space="preserve">, </w:t>
      </w:r>
      <w:hyperlink r:id="rId16" w:tooltip="&quot;Гражданский кодекс Российской Федерации (часть третья)&quot; от 26.11.2001 N 146-ФЗ (ред. от 24.07.2023) (с изм. и доп., вступ. в силу с 04.08.2023) {КонсультантПлюс}">
        <w:r w:rsidRPr="009B5F4A">
          <w:t>п. 1 ст. 1149</w:t>
        </w:r>
      </w:hyperlink>
      <w:r w:rsidRPr="009B5F4A">
        <w:t xml:space="preserve"> ГК РФ).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В части особенностей наследования детьми см., например, </w:t>
      </w:r>
      <w:hyperlink r:id="rId17" w:tooltip="Ситуация: Какие имущественные права имеет несовершеннолетний ребенок? (&quot;Электронный журнал &quot;Азбука права&quot;, 2024) {КонсультантПлюс}">
        <w:r w:rsidRPr="009B5F4A">
          <w:t>ситуацию</w:t>
        </w:r>
      </w:hyperlink>
      <w:r w:rsidRPr="009B5F4A">
        <w:t xml:space="preserve"> "Какие имущественные права имеет несовершеннолетний ребенок?".</w:t>
      </w:r>
    </w:p>
    <w:p w:rsidR="009B5F4A" w:rsidRPr="009B5F4A" w:rsidRDefault="009B5F4A" w:rsidP="009B5F4A">
      <w:pPr>
        <w:pStyle w:val="ConsPlusNormal"/>
        <w:jc w:val="both"/>
      </w:pPr>
    </w:p>
    <w:p w:rsidR="009B5F4A" w:rsidRPr="009B5F4A" w:rsidRDefault="009B5F4A" w:rsidP="009B5F4A">
      <w:pPr>
        <w:pStyle w:val="ConsPlusNormal"/>
        <w:outlineLvl w:val="0"/>
      </w:pPr>
      <w:r w:rsidRPr="009B5F4A">
        <w:rPr>
          <w:b/>
          <w:sz w:val="30"/>
        </w:rPr>
        <w:t>Трудовые правоотношения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lastRenderedPageBreak/>
        <w:t>В трудовые отношения по общему правилу могут вступать лица, достигшие 16 лет (</w:t>
      </w:r>
      <w:hyperlink r:id="rId18" w:tooltip="&quot;Трудовой кодекс Российской Федерации&quot; от 30.12.2001 N 197-ФЗ (ред. от 14.02.2024) {КонсультантПлюс}">
        <w:r w:rsidRPr="009B5F4A">
          <w:t>ст. ст. 20</w:t>
        </w:r>
      </w:hyperlink>
      <w:r w:rsidRPr="009B5F4A">
        <w:t xml:space="preserve">, </w:t>
      </w:r>
      <w:hyperlink r:id="rId19" w:tooltip="&quot;Трудовой кодекс Российской Федерации&quot; от 30.12.2001 N 197-ФЗ (ред. от 14.02.2024) {КонсультантПлюс}">
        <w:r w:rsidRPr="009B5F4A">
          <w:t>63</w:t>
        </w:r>
      </w:hyperlink>
      <w:r w:rsidRPr="009B5F4A">
        <w:t xml:space="preserve"> ТК РФ).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>При этом обязанность добросовестно исполнять свои трудовые обязанности, возложенные трудовым договором, не поставлена в зависимость от возраста работника. Однако несовершеннолетним работникам в рамках трудовых отношений предоставлены определенные преимущества. Так, например, для них не устанавливается испытание при приеме на работу (</w:t>
      </w:r>
      <w:hyperlink r:id="rId20" w:tooltip="&quot;Трудовой кодекс Российской Федерации&quot; от 30.12.2001 N 197-ФЗ (ред. от 14.02.2024) {КонсультантПлюс}">
        <w:r w:rsidRPr="009B5F4A">
          <w:t>ч. 2 ст. 21</w:t>
        </w:r>
      </w:hyperlink>
      <w:r w:rsidRPr="009B5F4A">
        <w:t xml:space="preserve">, </w:t>
      </w:r>
      <w:hyperlink r:id="rId21" w:tooltip="&quot;Трудовой кодекс Российской Федерации&quot; от 30.12.2001 N 197-ФЗ (ред. от 14.02.2024) {КонсультантПлюс}">
        <w:r w:rsidRPr="009B5F4A">
          <w:t>ч. 4 ст. 70</w:t>
        </w:r>
      </w:hyperlink>
      <w:r w:rsidRPr="009B5F4A">
        <w:t xml:space="preserve"> ТК РФ).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В части особенностей заключения трудового договора с ребенком, а также статуса несовершеннолетнего как стороны трудовых отношений см., например, </w:t>
      </w:r>
      <w:hyperlink r:id="rId22" w:tooltip="Вопрос: Какие существуют особенности заключения трудового договора с несовершеннолетним? (Консультация эксперта, 2024) {КонсультантПлюс}">
        <w:r w:rsidRPr="009B5F4A">
          <w:t>вопрос</w:t>
        </w:r>
      </w:hyperlink>
      <w:r w:rsidRPr="009B5F4A">
        <w:t xml:space="preserve"> "Какие существуют особенности заключения трудового договора с несовершеннолетним?".</w:t>
      </w:r>
    </w:p>
    <w:p w:rsidR="009B5F4A" w:rsidRPr="009B5F4A" w:rsidRDefault="009B5F4A" w:rsidP="009B5F4A">
      <w:pPr>
        <w:pStyle w:val="ConsPlusNormal"/>
        <w:jc w:val="both"/>
      </w:pPr>
    </w:p>
    <w:p w:rsidR="009B5F4A" w:rsidRPr="009B5F4A" w:rsidRDefault="009B5F4A" w:rsidP="009B5F4A">
      <w:pPr>
        <w:pStyle w:val="ConsPlusNormal"/>
        <w:ind w:left="540"/>
        <w:jc w:val="both"/>
      </w:pPr>
      <w:r w:rsidRPr="009B5F4A">
        <w:rPr>
          <w:b/>
        </w:rPr>
        <w:t>Обратите внимание!</w:t>
      </w:r>
      <w:r w:rsidRPr="009B5F4A">
        <w:t xml:space="preserve"> Ребенок, достигший 16 лет, может приобрести гражданскую дееспособность в полном объеме (в результате эмансипации),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(</w:t>
      </w:r>
      <w:hyperlink r:id="rId23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9B5F4A">
          <w:t>п. 1 ст. 27</w:t>
        </w:r>
      </w:hyperlink>
      <w:r w:rsidRPr="009B5F4A">
        <w:t xml:space="preserve"> ГК РФ).</w:t>
      </w:r>
    </w:p>
    <w:p w:rsidR="009B5F4A" w:rsidRPr="009B5F4A" w:rsidRDefault="009B5F4A" w:rsidP="009B5F4A">
      <w:pPr>
        <w:pStyle w:val="ConsPlusNormal"/>
        <w:jc w:val="both"/>
      </w:pPr>
    </w:p>
    <w:p w:rsidR="009B5F4A" w:rsidRPr="009B5F4A" w:rsidRDefault="009B5F4A" w:rsidP="009B5F4A">
      <w:pPr>
        <w:pStyle w:val="ConsPlusNormal"/>
        <w:outlineLvl w:val="0"/>
      </w:pPr>
      <w:r w:rsidRPr="009B5F4A">
        <w:rPr>
          <w:b/>
          <w:sz w:val="30"/>
        </w:rPr>
        <w:t>Жилищные правоотношения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Жилищные права ребенка </w:t>
      </w:r>
      <w:proofErr w:type="gramStart"/>
      <w:r w:rsidRPr="009B5F4A">
        <w:t>связаны</w:t>
      </w:r>
      <w:proofErr w:type="gramEnd"/>
      <w:r w:rsidRPr="009B5F4A">
        <w:t xml:space="preserve"> прежде всего с его правом на совместное проживание с родителями. При этом расторжение брака между родителями несовершеннолетнего ребенка, проживающего в жилом помещении, находящемся в собственности (в пользовании) одного из родителей, не влечет за собой утрату ребенком права пользования данным жилым помещением (</w:t>
      </w:r>
      <w:hyperlink r:id="rId24" w:tooltip="&quot;Семейный кодекс Российской Федерации&quot; от 29.12.1995 N 223-ФЗ (ред. от 31.07.2023) (с изм. и доп., вступ. в силу с 26.10.2023) {КонсультантПлюс}">
        <w:r w:rsidRPr="009B5F4A">
          <w:t>п. 2 ст. 54</w:t>
        </w:r>
      </w:hyperlink>
      <w:r w:rsidRPr="009B5F4A">
        <w:t xml:space="preserve"> СК РФ; </w:t>
      </w:r>
      <w:hyperlink r:id="rId25" w:tooltip="Постановление Пленума Верховного Суда РФ от 02.07.2009 N 14 &quot;О некоторых вопросах, возникших в судебной практике при применении Жилищного кодекса Российской Федерации&quot; {КонсультантПлюс}">
        <w:r w:rsidRPr="009B5F4A">
          <w:t>п. 14</w:t>
        </w:r>
      </w:hyperlink>
      <w:r w:rsidRPr="009B5F4A">
        <w:t xml:space="preserve"> Постановления Пленума Верховного Суда РФ от 02.07.2009 N 14).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В </w:t>
      </w:r>
      <w:proofErr w:type="gramStart"/>
      <w:r w:rsidRPr="009B5F4A">
        <w:t>отношении</w:t>
      </w:r>
      <w:proofErr w:type="gramEnd"/>
      <w:r w:rsidRPr="009B5F4A">
        <w:t xml:space="preserve"> жилищных прав ребенка разведенных родителей см., например, </w:t>
      </w:r>
      <w:hyperlink r:id="rId26" w:tooltip="Ситуация: Каким образом обеспечивается право ребенка на жилье при разводе родителей? (&quot;Электронный журнал &quot;Азбука права&quot;, 2024) {КонсультантПлюс}">
        <w:r w:rsidRPr="009B5F4A">
          <w:t>ситуацию</w:t>
        </w:r>
      </w:hyperlink>
      <w:r w:rsidRPr="009B5F4A">
        <w:t xml:space="preserve"> "Каким образом обеспечивается право ребенка на жилье при разводе родителей?".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Если собственником жилого помещения (доли) является несовершеннолетний, то обязанность по оплате жилого помещения и коммунальных услуг несут его родители независимо от факта совместного с ним проживания. Вместе с тем дети в возрасте от 14 до 18 лет вправе самостоятельно вносить плату за жилое помещение и коммунальные услуги. При недостаточности у ребенка средств обязанность по внесению такой платы </w:t>
      </w:r>
      <w:proofErr w:type="spellStart"/>
      <w:r w:rsidRPr="009B5F4A">
        <w:t>субсидиарно</w:t>
      </w:r>
      <w:proofErr w:type="spellEnd"/>
      <w:r w:rsidRPr="009B5F4A">
        <w:t xml:space="preserve"> возлагается на его родителей (</w:t>
      </w:r>
      <w:hyperlink r:id="rId27" w:tooltip="Постановление Пленума Верховного Суда РФ от 27.06.2017 N 22 &quot;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">
        <w:r w:rsidRPr="009B5F4A">
          <w:t>п. 28</w:t>
        </w:r>
      </w:hyperlink>
      <w:r w:rsidRPr="009B5F4A">
        <w:t xml:space="preserve"> Постановления Пленума Верховного Суда РФ от 27.06.2017 N 22).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>Отметим также, что для несовершеннолетних детей собственника жилого помещения (если они не признаны дееспособными до наступления возраста 18 лет) не установлена солидарная с собственником ответственность по обязательствам, вытекающим из пользования жилым помещением (</w:t>
      </w:r>
      <w:hyperlink r:id="rId28" w:tooltip="&quot;Жилищный кодекс Российской Федерации&quot; от 29.12.2004 N 188-ФЗ (ред. от 14.02.2024) (с изм. и доп., вступ. в силу с 25.02.2024) {КонсультантПлюс}">
        <w:r w:rsidRPr="009B5F4A">
          <w:t>ч. 3 ст. 31</w:t>
        </w:r>
      </w:hyperlink>
      <w:r w:rsidRPr="009B5F4A">
        <w:t xml:space="preserve"> ЖК РФ).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Кроме того, на вселение несовершеннолетних детей к их родителям в жилое помещение, занимаемое по договору социального найма, не требуется согласие остальных членов семьи нанимателя и согласие </w:t>
      </w:r>
      <w:proofErr w:type="spellStart"/>
      <w:r w:rsidRPr="009B5F4A">
        <w:t>наймодателя</w:t>
      </w:r>
      <w:proofErr w:type="spellEnd"/>
      <w:r w:rsidRPr="009B5F4A">
        <w:t>. При этом обмен жилыми помещениями, которые предоставлены по договорам социального найма и в которых проживают несовершеннолетние, допускается с предварительного согласия органов опеки и попечительства (</w:t>
      </w:r>
      <w:hyperlink r:id="rId29" w:tooltip="&quot;Жилищный кодекс Российской Федерации&quot; от 29.12.2004 N 188-ФЗ (ред. от 14.02.2024) (с изм. и доп., вступ. в силу с 25.02.2024) {КонсультантПлюс}">
        <w:r w:rsidRPr="009B5F4A">
          <w:t>ч. 1 ст. 70</w:t>
        </w:r>
      </w:hyperlink>
      <w:r w:rsidRPr="009B5F4A">
        <w:t xml:space="preserve">, </w:t>
      </w:r>
      <w:hyperlink r:id="rId30" w:tooltip="&quot;Жилищный кодекс Российской Федерации&quot; от 29.12.2004 N 188-ФЗ (ред. от 14.02.2024) (с изм. и доп., вступ. в силу с 25.02.2024) {КонсультантПлюс}">
        <w:r w:rsidRPr="009B5F4A">
          <w:t>ч. 4 ст. 72</w:t>
        </w:r>
      </w:hyperlink>
      <w:r w:rsidRPr="009B5F4A">
        <w:t xml:space="preserve"> ЖК РФ).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В части оснований для выселения ребенка из жилого помещения и случаев, когда его нельзя принудительно выселить из жилого помещения, см., например, </w:t>
      </w:r>
      <w:hyperlink r:id="rId31" w:tooltip="Ситуация: Как выселить несовершеннолетнего из жилого помещения? (&quot;Электронный журнал &quot;Азбука права&quot;, 2024) {КонсультантПлюс}">
        <w:r w:rsidRPr="009B5F4A">
          <w:t>ситуацию</w:t>
        </w:r>
      </w:hyperlink>
      <w:r w:rsidRPr="009B5F4A">
        <w:t xml:space="preserve"> "Как выселить несовершеннолетнего из жилого помещения?".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Несовершеннолетние, обладающие правом пользования жилым помещением государственного или муниципального жилищного фонда на условиях социального найма, имеют право на бесплатное получение его в собственность в порядке приватизации наравне </w:t>
      </w:r>
      <w:proofErr w:type="gramStart"/>
      <w:r w:rsidRPr="009B5F4A">
        <w:t>со</w:t>
      </w:r>
      <w:proofErr w:type="gramEnd"/>
      <w:r w:rsidRPr="009B5F4A">
        <w:t xml:space="preserve"> взрослыми (</w:t>
      </w:r>
      <w:hyperlink r:id="rId32" w:tooltip="Закон РФ от 04.07.1991 N 1541-1 (ред. от 11.06.2021) &quot;О приватизации жилищного фонда в Российской Федерации&quot; {КонсультантПлюс}">
        <w:r w:rsidRPr="009B5F4A">
          <w:t>ст. ст. 1</w:t>
        </w:r>
      </w:hyperlink>
      <w:r w:rsidRPr="009B5F4A">
        <w:t xml:space="preserve">, </w:t>
      </w:r>
      <w:hyperlink r:id="rId33" w:tooltip="Закон РФ от 04.07.1991 N 1541-1 (ред. от 11.06.2021) &quot;О приватизации жилищного фонда в Российской Федерации&quot; {КонсультантПлюс}">
        <w:r w:rsidRPr="009B5F4A">
          <w:t>2</w:t>
        </w:r>
      </w:hyperlink>
      <w:r w:rsidRPr="009B5F4A">
        <w:t xml:space="preserve"> Закона от 04.07.1991 N 1541-1).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В </w:t>
      </w:r>
      <w:proofErr w:type="gramStart"/>
      <w:r w:rsidRPr="009B5F4A">
        <w:t>отношении</w:t>
      </w:r>
      <w:proofErr w:type="gramEnd"/>
      <w:r w:rsidRPr="009B5F4A">
        <w:t xml:space="preserve"> участия детей в приватизации жилья см., например, </w:t>
      </w:r>
      <w:hyperlink r:id="rId34" w:tooltip="Ситуация: Каков порядок участия несовершеннолетних в приватизации жилых помещений? (&quot;Электронный журнал &quot;Азбука права&quot;, 2024) {КонсультантПлюс}">
        <w:r w:rsidRPr="009B5F4A">
          <w:t>ситуацию</w:t>
        </w:r>
      </w:hyperlink>
      <w:r w:rsidRPr="009B5F4A">
        <w:t xml:space="preserve"> "Каков порядок участия несовершеннолетних в приватизации жилых помещений?".</w:t>
      </w:r>
    </w:p>
    <w:p w:rsidR="009B5F4A" w:rsidRPr="009B5F4A" w:rsidRDefault="009B5F4A" w:rsidP="009B5F4A">
      <w:pPr>
        <w:pStyle w:val="ConsPlusNormal"/>
        <w:spacing w:before="200"/>
        <w:jc w:val="both"/>
      </w:pPr>
      <w:r w:rsidRPr="009B5F4A">
        <w:t xml:space="preserve">В </w:t>
      </w:r>
      <w:proofErr w:type="gramStart"/>
      <w:r w:rsidRPr="009B5F4A">
        <w:t>случае</w:t>
      </w:r>
      <w:proofErr w:type="gramEnd"/>
      <w:r w:rsidRPr="009B5F4A">
        <w:t xml:space="preserve"> приобретения жилого помещения с использованием средств материнского капитала ребенок приобретает долю в общей собственности на такое помещение (</w:t>
      </w:r>
      <w:hyperlink r:id="rId35" w:tooltip="Федеральный закон от 29.12.2006 N 256-ФЗ (ред. от 25.12.2023) &quot;О дополнительных мерах государственной поддержки семей, имеющих детей&quot; (с изм. и доп., вступ. в силу с 05.01.2024) {КонсультантПлюс}">
        <w:r w:rsidRPr="009B5F4A">
          <w:t>ч. 4 ст. 10</w:t>
        </w:r>
      </w:hyperlink>
      <w:r w:rsidRPr="009B5F4A">
        <w:t xml:space="preserve"> Закона от 29.12.2006 N 256-ФЗ).</w:t>
      </w:r>
    </w:p>
    <w:p w:rsidR="0092034D" w:rsidRPr="009B5F4A" w:rsidRDefault="009B5F4A">
      <w:bookmarkStart w:id="0" w:name="_GoBack"/>
      <w:bookmarkEnd w:id="0"/>
    </w:p>
    <w:sectPr w:rsidR="0092034D" w:rsidRPr="009B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4A"/>
    <w:rsid w:val="001F0889"/>
    <w:rsid w:val="0068707C"/>
    <w:rsid w:val="009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4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F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4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F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CJI&amp;n=86490&amp;dst=100003" TargetMode="External"/><Relationship Id="rId13" Type="http://schemas.openxmlformats.org/officeDocument/2006/relationships/hyperlink" Target="https://login.consultant.ru/link/?req=doc&amp;base=LAW&amp;n=452991&amp;dst=100118" TargetMode="External"/><Relationship Id="rId18" Type="http://schemas.openxmlformats.org/officeDocument/2006/relationships/hyperlink" Target="https://login.consultant.ru/link/?req=doc&amp;base=LAW&amp;n=469771&amp;dst=2051" TargetMode="External"/><Relationship Id="rId26" Type="http://schemas.openxmlformats.org/officeDocument/2006/relationships/hyperlink" Target="https://login.consultant.ru/link/?req=doc&amp;base=CJI&amp;n=1367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1&amp;dst=430" TargetMode="External"/><Relationship Id="rId34" Type="http://schemas.openxmlformats.org/officeDocument/2006/relationships/hyperlink" Target="https://login.consultant.ru/link/?req=doc&amp;base=CJI&amp;n=115408" TargetMode="External"/><Relationship Id="rId7" Type="http://schemas.openxmlformats.org/officeDocument/2006/relationships/hyperlink" Target="https://login.consultant.ru/link/?req=doc&amp;base=LAW&amp;n=453483&amp;dst=100273" TargetMode="External"/><Relationship Id="rId12" Type="http://schemas.openxmlformats.org/officeDocument/2006/relationships/hyperlink" Target="https://login.consultant.ru/link/?req=doc&amp;base=LAW&amp;n=452991&amp;dst=100099" TargetMode="External"/><Relationship Id="rId17" Type="http://schemas.openxmlformats.org/officeDocument/2006/relationships/hyperlink" Target="https://login.consultant.ru/link/?req=doc&amp;base=CJI&amp;n=86490&amp;dst=100042" TargetMode="External"/><Relationship Id="rId25" Type="http://schemas.openxmlformats.org/officeDocument/2006/relationships/hyperlink" Target="https://login.consultant.ru/link/?req=doc&amp;base=LAW&amp;n=89120&amp;dst=100051" TargetMode="External"/><Relationship Id="rId33" Type="http://schemas.openxmlformats.org/officeDocument/2006/relationships/hyperlink" Target="https://login.consultant.ru/link/?req=doc&amp;base=LAW&amp;n=387169&amp;dst=1000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892&amp;dst=179" TargetMode="External"/><Relationship Id="rId20" Type="http://schemas.openxmlformats.org/officeDocument/2006/relationships/hyperlink" Target="https://login.consultant.ru/link/?req=doc&amp;base=LAW&amp;n=469771&amp;dst=100179" TargetMode="External"/><Relationship Id="rId29" Type="http://schemas.openxmlformats.org/officeDocument/2006/relationships/hyperlink" Target="https://login.consultant.ru/link/?req=doc&amp;base=LAW&amp;n=469908&amp;dst=1004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483&amp;dst=100245" TargetMode="External"/><Relationship Id="rId11" Type="http://schemas.openxmlformats.org/officeDocument/2006/relationships/hyperlink" Target="https://login.consultant.ru/link/?req=doc&amp;base=LAW&amp;n=2875&amp;dst=7" TargetMode="External"/><Relationship Id="rId24" Type="http://schemas.openxmlformats.org/officeDocument/2006/relationships/hyperlink" Target="https://login.consultant.ru/link/?req=doc&amp;base=LAW&amp;n=453483&amp;dst=100245" TargetMode="External"/><Relationship Id="rId32" Type="http://schemas.openxmlformats.org/officeDocument/2006/relationships/hyperlink" Target="https://login.consultant.ru/link/?req=doc&amp;base=LAW&amp;n=387169&amp;dst=10001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3483&amp;dst=100013" TargetMode="External"/><Relationship Id="rId15" Type="http://schemas.openxmlformats.org/officeDocument/2006/relationships/hyperlink" Target="https://login.consultant.ru/link/?req=doc&amp;base=LAW&amp;n=452892&amp;dst=233" TargetMode="External"/><Relationship Id="rId23" Type="http://schemas.openxmlformats.org/officeDocument/2006/relationships/hyperlink" Target="https://login.consultant.ru/link/?req=doc&amp;base=LAW&amp;n=452991&amp;dst=100158" TargetMode="External"/><Relationship Id="rId28" Type="http://schemas.openxmlformats.org/officeDocument/2006/relationships/hyperlink" Target="https://login.consultant.ru/link/?req=doc&amp;base=LAW&amp;n=469908&amp;dst=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&amp;dst=100169" TargetMode="External"/><Relationship Id="rId19" Type="http://schemas.openxmlformats.org/officeDocument/2006/relationships/hyperlink" Target="https://login.consultant.ru/link/?req=doc&amp;base=LAW&amp;n=469771&amp;dst=2052" TargetMode="External"/><Relationship Id="rId31" Type="http://schemas.openxmlformats.org/officeDocument/2006/relationships/hyperlink" Target="https://login.consultant.ru/link/?req=doc&amp;base=CJI&amp;n=144951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st=100149" TargetMode="External"/><Relationship Id="rId14" Type="http://schemas.openxmlformats.org/officeDocument/2006/relationships/hyperlink" Target="https://login.consultant.ru/link/?req=doc&amp;base=LAW&amp;n=452991&amp;dst=100165" TargetMode="External"/><Relationship Id="rId22" Type="http://schemas.openxmlformats.org/officeDocument/2006/relationships/hyperlink" Target="https://login.consultant.ru/link/?req=doc&amp;base=QUEST&amp;n=178655" TargetMode="External"/><Relationship Id="rId27" Type="http://schemas.openxmlformats.org/officeDocument/2006/relationships/hyperlink" Target="https://login.consultant.ru/link/?req=doc&amp;base=LAW&amp;n=218822&amp;dst=100060" TargetMode="External"/><Relationship Id="rId30" Type="http://schemas.openxmlformats.org/officeDocument/2006/relationships/hyperlink" Target="https://login.consultant.ru/link/?req=doc&amp;base=LAW&amp;n=469908&amp;dst=156" TargetMode="External"/><Relationship Id="rId35" Type="http://schemas.openxmlformats.org/officeDocument/2006/relationships/hyperlink" Target="https://login.consultant.ru/link/?req=doc&amp;base=LAW&amp;n=465788&amp;dst=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Елена Борисовна</dc:creator>
  <cp:lastModifiedBy>Королёва Елена Борисовна</cp:lastModifiedBy>
  <cp:revision>1</cp:revision>
  <dcterms:created xsi:type="dcterms:W3CDTF">2024-03-21T06:44:00Z</dcterms:created>
  <dcterms:modified xsi:type="dcterms:W3CDTF">2024-03-21T06:45:00Z</dcterms:modified>
</cp:coreProperties>
</file>