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7D7" w:rsidRDefault="00F927D7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F927D7" w:rsidRDefault="00F927D7">
      <w:pPr>
        <w:pStyle w:val="ConsPlusNormal"/>
        <w:jc w:val="both"/>
        <w:outlineLvl w:val="0"/>
      </w:pPr>
    </w:p>
    <w:p w:rsidR="00F927D7" w:rsidRDefault="00F927D7">
      <w:pPr>
        <w:pStyle w:val="ConsPlusTitle"/>
        <w:jc w:val="center"/>
        <w:outlineLvl w:val="0"/>
      </w:pPr>
      <w:r>
        <w:t>МИНИСТЕРСТВО ТРУДА И СОЦИАЛЬНОЙ ЗАЩИТЫ РОССИЙСКОЙ ФЕДЕРАЦИИ</w:t>
      </w:r>
    </w:p>
    <w:p w:rsidR="00F927D7" w:rsidRDefault="00F927D7">
      <w:pPr>
        <w:pStyle w:val="ConsPlusTitle"/>
        <w:jc w:val="center"/>
      </w:pPr>
    </w:p>
    <w:p w:rsidR="00F927D7" w:rsidRDefault="00F927D7">
      <w:pPr>
        <w:pStyle w:val="ConsPlusTitle"/>
        <w:jc w:val="center"/>
      </w:pPr>
      <w:r>
        <w:t>ФЕДЕРАЛЬНАЯ СЛУЖБА ПО ТРУДУ И ЗАНЯТОСТИ</w:t>
      </w:r>
    </w:p>
    <w:p w:rsidR="00F927D7" w:rsidRDefault="00F927D7">
      <w:pPr>
        <w:pStyle w:val="ConsPlusTitle"/>
        <w:jc w:val="center"/>
      </w:pPr>
    </w:p>
    <w:p w:rsidR="00F927D7" w:rsidRDefault="00F927D7">
      <w:pPr>
        <w:pStyle w:val="ConsPlusTitle"/>
        <w:jc w:val="center"/>
      </w:pPr>
      <w:r>
        <w:t>ПИСЬМО</w:t>
      </w:r>
    </w:p>
    <w:p w:rsidR="00F927D7" w:rsidRDefault="00F927D7">
      <w:pPr>
        <w:pStyle w:val="ConsPlusTitle"/>
        <w:jc w:val="center"/>
      </w:pPr>
      <w:r>
        <w:t>от 17 января 2022 г. N 46-ПР</w:t>
      </w:r>
    </w:p>
    <w:p w:rsidR="00F927D7" w:rsidRDefault="00F927D7">
      <w:pPr>
        <w:pStyle w:val="ConsPlusNormal"/>
        <w:jc w:val="center"/>
      </w:pPr>
    </w:p>
    <w:p w:rsidR="00F927D7" w:rsidRDefault="00F927D7">
      <w:pPr>
        <w:pStyle w:val="ConsPlusNormal"/>
        <w:ind w:firstLine="540"/>
        <w:jc w:val="both"/>
      </w:pPr>
      <w:proofErr w:type="gramStart"/>
      <w:r>
        <w:t xml:space="preserve">Федеральная служба по труду и занятости, во исполнение пункта 3 Плана мероприятий по снижению уровня теневой занятости и легализации трудовых отношений на 2022 - 2024 годы, утвержденного Межведомственной рабочей группой по вопросу восстановления рынка труда (протокол N 16 от 3 декабря 2021 года), направляет Методические </w:t>
      </w:r>
      <w:hyperlink w:anchor="P18">
        <w:r>
          <w:rPr>
            <w:color w:val="0000FF"/>
          </w:rPr>
          <w:t>рекомендации</w:t>
        </w:r>
      </w:hyperlink>
      <w:r>
        <w:t xml:space="preserve"> по организации органами исполнительной власти субъектов Российской Федерации работы по снижению уровня теневой занятости и</w:t>
      </w:r>
      <w:proofErr w:type="gramEnd"/>
      <w:r>
        <w:t xml:space="preserve"> легализации трудовых отношений в субъектах Российской Федерации для использования в работе.</w:t>
      </w:r>
    </w:p>
    <w:p w:rsidR="00F927D7" w:rsidRDefault="00F927D7">
      <w:pPr>
        <w:pStyle w:val="ConsPlusNormal"/>
        <w:jc w:val="both"/>
      </w:pPr>
    </w:p>
    <w:p w:rsidR="00F927D7" w:rsidRDefault="00F927D7">
      <w:pPr>
        <w:pStyle w:val="ConsPlusNormal"/>
        <w:jc w:val="right"/>
      </w:pPr>
      <w:r>
        <w:t>Д.А.ВАСИЛЬЕВ</w:t>
      </w:r>
    </w:p>
    <w:p w:rsidR="00F927D7" w:rsidRDefault="00F927D7">
      <w:pPr>
        <w:pStyle w:val="ConsPlusNormal"/>
        <w:jc w:val="both"/>
      </w:pPr>
    </w:p>
    <w:p w:rsidR="00F927D7" w:rsidRDefault="00F927D7">
      <w:pPr>
        <w:pStyle w:val="ConsPlusNormal"/>
        <w:jc w:val="both"/>
      </w:pPr>
    </w:p>
    <w:p w:rsidR="00F927D7" w:rsidRDefault="00F927D7">
      <w:pPr>
        <w:pStyle w:val="ConsPlusNormal"/>
        <w:jc w:val="both"/>
      </w:pPr>
    </w:p>
    <w:p w:rsidR="00F927D7" w:rsidRDefault="00F927D7">
      <w:pPr>
        <w:pStyle w:val="ConsPlusNormal"/>
        <w:jc w:val="right"/>
        <w:outlineLvl w:val="0"/>
      </w:pPr>
      <w:r>
        <w:t>Приложение</w:t>
      </w:r>
    </w:p>
    <w:p w:rsidR="00F927D7" w:rsidRDefault="00F927D7">
      <w:pPr>
        <w:pStyle w:val="ConsPlusNormal"/>
        <w:jc w:val="both"/>
      </w:pPr>
    </w:p>
    <w:p w:rsidR="00F927D7" w:rsidRDefault="00F927D7">
      <w:pPr>
        <w:pStyle w:val="ConsPlusTitle"/>
        <w:jc w:val="center"/>
      </w:pPr>
      <w:bookmarkStart w:id="0" w:name="P18"/>
      <w:bookmarkEnd w:id="0"/>
      <w:r>
        <w:t>МЕТОДИЧЕСКИЕ РЕКОМЕНДАЦИИ</w:t>
      </w:r>
    </w:p>
    <w:p w:rsidR="00F927D7" w:rsidRDefault="00F927D7">
      <w:pPr>
        <w:pStyle w:val="ConsPlusTitle"/>
        <w:jc w:val="center"/>
      </w:pPr>
      <w:r>
        <w:t>ПО ОРГАНИЗАЦИИ ОРГАНАМИ ИСПОЛНИТЕЛЬНОЙ ВЛАСТИ СУБЪЕКТОВ</w:t>
      </w:r>
    </w:p>
    <w:p w:rsidR="00F927D7" w:rsidRDefault="00F927D7">
      <w:pPr>
        <w:pStyle w:val="ConsPlusTitle"/>
        <w:jc w:val="center"/>
      </w:pPr>
      <w:r>
        <w:t>РОССИЙСКОЙ ФЕДЕРАЦИИ РАБОТЫ ПО СНИЖЕНИЮ УРОВНЯ ТЕНЕВОЙ</w:t>
      </w:r>
    </w:p>
    <w:p w:rsidR="00F927D7" w:rsidRDefault="00F927D7">
      <w:pPr>
        <w:pStyle w:val="ConsPlusTitle"/>
        <w:jc w:val="center"/>
      </w:pPr>
      <w:r>
        <w:t>ЗАНЯТОСТИ И ЛЕГАЛИЗАЦИИ ТРУДОВЫХ ОТНОШЕНИЙ В СУБЪЕКТАХ</w:t>
      </w:r>
    </w:p>
    <w:p w:rsidR="00F927D7" w:rsidRDefault="00F927D7">
      <w:pPr>
        <w:pStyle w:val="ConsPlusTitle"/>
        <w:jc w:val="center"/>
      </w:pPr>
      <w:r>
        <w:t>РОССИЙСКОЙ ФЕДЕРАЦИИ</w:t>
      </w:r>
    </w:p>
    <w:p w:rsidR="00F927D7" w:rsidRDefault="00F927D7">
      <w:pPr>
        <w:pStyle w:val="ConsPlusNormal"/>
        <w:jc w:val="both"/>
      </w:pPr>
    </w:p>
    <w:p w:rsidR="00F927D7" w:rsidRDefault="00F927D7">
      <w:pPr>
        <w:pStyle w:val="ConsPlusNormal"/>
        <w:ind w:firstLine="540"/>
        <w:jc w:val="both"/>
      </w:pPr>
      <w:r>
        <w:t xml:space="preserve">1. Настоящие Методические рекомендации разработаны в соответствии с пунктом 3 Плана мероприятий по снижению уровня </w:t>
      </w:r>
      <w:hyperlink r:id="rId6">
        <w:r>
          <w:rPr>
            <w:color w:val="0000FF"/>
          </w:rPr>
          <w:t>теневой занятости</w:t>
        </w:r>
      </w:hyperlink>
      <w:r>
        <w:t xml:space="preserve"> и легализации трудовых отношений на 2022 - 2024 годы, утвержденного на заседании Межведомственной рабочей группы по вопросу восстановления рынка труда (пункт 2 раздела 1 протокола от 3 декабря 2021 г. N 16), в целях организации высшим должностным лицом субъекта Российской </w:t>
      </w:r>
      <w:proofErr w:type="gramStart"/>
      <w:r>
        <w:t>Федерации</w:t>
      </w:r>
      <w:proofErr w:type="gramEnd"/>
      <w:r>
        <w:t xml:space="preserve"> в лице уполномоченного им органа исполнительной власти субъекта Российской Федерации (далее - уполномоченный орган) работы по снижению уровня теневой занятости и легализации трудовых отношений на территории субъекта Российской Федерации.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Для координации действий по снижению теневой занятости в субъекте Российской Федерации создается межведомственная комиссия по противодействию теневой занятости и легализации трудовых отношений (далее - Комиссия) с привлечением органов власти субъекта Российской Федерации, представителей органов прокуратуры, заинтересованных территориальных органов федеральных органов исполнительной власти, в том числе Министерства внутренних дел Российской Федерации, Федеральной налоговой службы Российской Федерации, Федеральной службы по труду и занятости</w:t>
      </w:r>
      <w:proofErr w:type="gramEnd"/>
      <w:r>
        <w:t>, государственных внебюджетных фондов, общероссийских объединений профсоюзов и общероссийских объединений работодателей, а также иных заинтересованных структур.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Возможно возложение указанных функций на действующий коллегиальный орган в субъекте Российской Федерации с соответствующим расширением необходимого круга участников.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3. В целях реализации Плана мероприятий в муниципальных образованиях субъекта Российской Федерации создаются муниципальные рабочие группы (далее - рабочая группа).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4. Уполномоченный орган обеспечивает подготовку и утверждение Комиссией плана мероприятий по снижению уровня теневой занятости и легализации трудовых отношений в субъекте Российской Федерации (далее - План мероприятий), а также дальнейшую актуализацию Плана мероприятий (при необходимости).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 xml:space="preserve">В План мероприятий включаются меры, направленные на профилактику, выявление и пресечение фактов осуществления трудовой деятельности с нарушением </w:t>
      </w:r>
      <w:hyperlink r:id="rId7">
        <w:r>
          <w:rPr>
            <w:color w:val="0000FF"/>
          </w:rPr>
          <w:t>порядка</w:t>
        </w:r>
      </w:hyperlink>
      <w:r>
        <w:t xml:space="preserve">, установленного законодательством </w:t>
      </w:r>
      <w:r>
        <w:lastRenderedPageBreak/>
        <w:t xml:space="preserve">Российской Федерации, </w:t>
      </w:r>
      <w:proofErr w:type="gramStart"/>
      <w:r>
        <w:t>включая</w:t>
      </w:r>
      <w:proofErr w:type="gramEnd"/>
      <w:r>
        <w:t xml:space="preserve"> в том числе проведение информационно-разъяснительной работы с работодателями и гражданами по вопросам реализации Плана мероприятий.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5. На основе установленного Минтрудом России ежегодного целевого показателя по выявлению теневой занятости в субъекте Российской Федерации (далее - Целевой показатель) решением Комиссии устанавливаются соответствующие целевые показатели для органов власти, входящих в состав Комиссии и рабочих групп муниципальных образований. Комиссия обеспечивает мониторинг достижения Целевого показателя.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6. Возможный основной функционал Комиссии:</w:t>
      </w:r>
    </w:p>
    <w:p w:rsidR="00F927D7" w:rsidRDefault="00F927D7">
      <w:pPr>
        <w:pStyle w:val="ConsPlusNormal"/>
        <w:spacing w:before="220"/>
        <w:ind w:firstLine="540"/>
        <w:jc w:val="both"/>
      </w:pPr>
      <w:proofErr w:type="gramStart"/>
      <w:r>
        <w:t>определение основных отраслей, для которых в наибольшей степени возможен риск возникновения теневой занятости в субъекте Российской Федерации, например: торговля, услуги (</w:t>
      </w:r>
      <w:proofErr w:type="spellStart"/>
      <w:r>
        <w:t>клининг</w:t>
      </w:r>
      <w:proofErr w:type="spellEnd"/>
      <w:r>
        <w:t xml:space="preserve">, охрана, бытовые, транспортные, гостиничные, </w:t>
      </w:r>
      <w:proofErr w:type="spellStart"/>
      <w:r>
        <w:t>авторемонт</w:t>
      </w:r>
      <w:proofErr w:type="spellEnd"/>
      <w:r>
        <w:t xml:space="preserve"> и др.), общественное питание, строительство, сельское хозяйство;</w:t>
      </w:r>
      <w:proofErr w:type="gramEnd"/>
    </w:p>
    <w:p w:rsidR="00F927D7" w:rsidRDefault="00F927D7">
      <w:pPr>
        <w:pStyle w:val="ConsPlusNormal"/>
        <w:spacing w:before="220"/>
        <w:ind w:firstLine="540"/>
        <w:jc w:val="both"/>
      </w:pPr>
      <w:r>
        <w:t>выявление на территории субъекта Российской Федерации хозяйствующих субъектов с признаками теневой занятости, используя информацию из различных источников, в том числе данные: Федеральной налоговой службы, Пенсионного фонда Российской Федерации, Фонда социального страхования, Государственной инспекции труда, заявления и обращения граждан;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координация деятельности членов Комиссии для реализации утвержденного Плана мероприятий и достижению установленного Целевого показателя;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 xml:space="preserve">инициирование совместных профилактических мероприятий в местах массовой торговали, ремонта и техобслуживания транспортных средств, строительных площадок и др. в целях выявления граждан, работающих без оформления трудовых отношений, договоров ГПХ, либо без оформления соответствующего статуса (ИП, </w:t>
      </w:r>
      <w:proofErr w:type="spellStart"/>
      <w:r>
        <w:t>самозанятость</w:t>
      </w:r>
      <w:proofErr w:type="spellEnd"/>
      <w:r>
        <w:t>);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организация межведомственного обмена данными о возможных факторах риска наличия теневой занятости с использованием: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- информации Отделения Пенсионного фонда РФ о работодателях, выплачивающих заработную плату ниже среднеотраслевой заработной платы, а также о плательщиках, представляющих отчетность с нулевыми начислениями по заработной плате, имеющих задолженность по уплате страховых взносов;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- информации Регионального отделения Фонда социального страхования о работодателях, выплачивающих заработную плату ниже среднеотраслевой заработной платы, имеющих задолженность по уплате страховых взносов;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- информации Управления Федеральной налоговой службы о работодателях, выплачивающих заработную плату ниже среднеотраслевой заработной платы, а также о хозяйствующих субъектах, не исполняющих обязанность по исчислению и перечислению НДФЛ;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- информации территориальных органов социальной защиты и центров занятости населения о работодателях, выплачивающих заниженную заработную плату и т.д.;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проведение анализа и сопоставления получаемой информации, направление соответствующих данных в рабочие группы для принятия соответствующих мер и организации адресной работы с работодателями;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заслушивание на заседании Комиссии руководителей и представителей хозяйствующих субъектов в соответствии с критериями и признаками возможных рисков наличия теневой занятости;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формирование плана мероприятий, направленных на обеспечение пропагандистской деятельности с целью формирования негативного отношения общества к теневой занятости, особенно в молодежной среде, информирование широких слоев общественности и работодателей о негативных последствиях существования нелегальных трудовых отношений;</w:t>
      </w:r>
    </w:p>
    <w:p w:rsidR="00F927D7" w:rsidRDefault="00F927D7">
      <w:pPr>
        <w:pStyle w:val="ConsPlusNormal"/>
        <w:spacing w:before="220"/>
        <w:ind w:firstLine="540"/>
        <w:jc w:val="both"/>
      </w:pPr>
      <w:proofErr w:type="gramStart"/>
      <w:r>
        <w:t>контроль за</w:t>
      </w:r>
      <w:proofErr w:type="gramEnd"/>
      <w:r>
        <w:t xml:space="preserve"> деятельностью рабочих групп в рамках реализации утвержденного Плана мероприятий и достижения установленного Целевого показателя;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lastRenderedPageBreak/>
        <w:t>обеспечение мониторинга работы субъекта Российской Федерации по снижению уровня теневой занятости и легализации трудовых отношений, проведения сверки данных по хозяйствующим субъектам и лицам, полученным по результатам проведенной работы.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7. Возможный функционал рабочей группы: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выявление на территории муниципального образования хозяйствующих субъектов с признаками теневой занятости;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проведение профилактических визитов в хозяйствующие субъекты, в которых выявлены признаки теневой занятости с возможностью привлечения сотрудников соответствующих муниципальных структур, представителей региональных органов исполнительной власти и территориальных органов федеральных органов исполнительной власти;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проведение профилактических визитов, направленных на выявление физических лиц, осуществляющих предпринимательскую и трудовую деятельность без соответствующего оформления;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приглашение руководителя хозяйствующего субъекта с признаками теневых трудовых отношений на заседание муниципальной рабочей группы;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заслушивание руководителя хозяйствующего субъекта с признаками теневой занятости, предложение руководителю хозяйствующего субъекта самостоятельно (добровольно) в определенный срок оформить трудовые отношения работников, а в случае выявления фактов искусственного занижения уровня заработной платы (выплаты части заработной платы "в конверте") провести необходимые изменения в системы трудовых отношений и оплаты труда данного хозяйствующего субъекта;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 xml:space="preserve">проведение сверки данных, полученных в результате ведения индивидуального учета </w:t>
      </w:r>
      <w:proofErr w:type="spellStart"/>
      <w:r>
        <w:t>закрепляемости</w:t>
      </w:r>
      <w:proofErr w:type="spellEnd"/>
      <w:r>
        <w:t xml:space="preserve"> на рабочих местах работников, с которыми оформлены трудовые отношения в ходе реализации мер по снижению теневой занятости: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- обязанность работодателя считается исполненной в случае наличия отчислений в Пенсионный фонд Российской Федерации (ПФР);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- в случае отказа работодателя оформить трудовые отношения в установленный срок или в случае их длительного не оформления, документы передаются в Комиссию, которая на основе протокольного решения направляет соответствующие материалы в Государственную инспекцию труда (ГИТ) для принятия мер инспекторского реагирования.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8. Для обеспечения работы Комиссии и рабочей группы целесообразно установить признаки теневой занятости, характерные для рынка труда субъекта Российской Федерации. Одновременно с этим рекомендуется использовать следующие признаки: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а) Несоответствие заявленной в ФНС России численности работников объему услуг / наличию онлайн-касс.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Получение от налоговых органов сведений об организациях, у которых заключены государственные/муниципальные контракты на объемы предоставляемых услуг (человеко-часы, нормы обслуживания), не соответствующие численности работников, указанных в отчетности в налоговые органы.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Получение от налоговых органов сведений о лицах, работающих на онлайн-кассах, по которым предприятиями не производились отчисления в государственные фонды.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б) Несовпадение информации ЦЗН и ПФР о трудовой деятельности гражданина.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Получение информации от ЦЗН о работодателях, с расхождениями по внесению записей в трудовые книжки работников о периоде работы, при отсутствии сведений о страховом стаже работника в органах ПФР.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б) Оказание услуг гражданином, не имеющим соответствующего статуса.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 xml:space="preserve">Мониторинг объявлений в СМИ, на "платформах" об оказании услуг на предмет наличия у исполнителя </w:t>
      </w:r>
      <w:r>
        <w:lastRenderedPageBreak/>
        <w:t xml:space="preserve">услуг статуса ИП или </w:t>
      </w:r>
      <w:proofErr w:type="spellStart"/>
      <w:r>
        <w:t>самозанятого</w:t>
      </w:r>
      <w:proofErr w:type="spellEnd"/>
      <w:r>
        <w:t>.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в) Массовые обращения за социальными пособиями работников одной организации, с низким доходом.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Низкий доход членов семьи претендующих на социальные пособия, занятых в определенной организации, когда обращение работников данной организации носит массовый характер. Особенно при указании работы на неполную ставку. Запрашиваются документы по режиму работы организации (магазина, гостиницы и т.д.), графики работы, штатное расписание.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г) Не заключение трудовых договоров / заключение договоров на неполный день при установлении факта полной занятости.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В ходе проведения внеплановых проверок установление фактов незаключенных трудовых договоров или заключение их на неполную ставку при фактической занятости в течение рабочего дня (общепит, торговля, гостиничный бизнес, автомойки, автомобильный сервис и др.).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д) Наличие объемов работ, не соответствующих заявленной численности ЛПХ.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Обработка земельных участков большой площади, и (или) выращивания и (или) выпаса стада большого количества животных.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Выявление наемных работников в ЛПХ проводится в рамках взаимодействия с главами сельских муниципальных образований и внебюджетными фондами.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е) Заявляемые вакансии ниже минимальной заработной платы.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 xml:space="preserve">Анализ информации, поступившей из различных источников, и выявление работодателей, заявивших вакансии с заработной платой ниже МРОТ, или заработной платой существенно </w:t>
      </w:r>
      <w:proofErr w:type="gramStart"/>
      <w:r>
        <w:t>ниже</w:t>
      </w:r>
      <w:proofErr w:type="gramEnd"/>
      <w:r>
        <w:t xml:space="preserve"> чем по соответствующим профессионально-квалификационным группам работников в субъекте Российской Федерации, дальнейшее направление списков на рассмотрение в рабочую группу по снижению теневой занятости.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 xml:space="preserve">ж) Уплачиваются страховые взносы с заработной платы ниже минимального </w:t>
      </w:r>
      <w:proofErr w:type="gramStart"/>
      <w:r>
        <w:t>размера оплаты труда</w:t>
      </w:r>
      <w:proofErr w:type="gramEnd"/>
      <w:r>
        <w:t>, установленного в субъекте;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з) Произошло значительное снижение среднесписочной численности работников по сравнению с предыдущим годом с учетом финансово-</w:t>
      </w:r>
      <w:proofErr w:type="spellStart"/>
      <w:r>
        <w:t>хозяственной</w:t>
      </w:r>
      <w:proofErr w:type="spellEnd"/>
      <w:r>
        <w:t xml:space="preserve"> деятельности и экономической ситуации у работодателя;</w:t>
      </w:r>
    </w:p>
    <w:p w:rsidR="00F927D7" w:rsidRDefault="00F927D7">
      <w:pPr>
        <w:pStyle w:val="ConsPlusNormal"/>
        <w:spacing w:before="220"/>
        <w:ind w:firstLine="540"/>
        <w:jc w:val="both"/>
      </w:pPr>
      <w:proofErr w:type="gramStart"/>
      <w:r>
        <w:t>и) Несоответствие количества транспортных средств, используемых для перевозки пассажиров (маршрутные автобусы, такси), грузов и численности работников согласно представленным сведениям о доходах физических лиц по форме 2-НДФЛ и/или расчетам сумм налога на доходы физических лиц, исчисленных и удержанных налоговым агентом по форме 6-НДФЛ;</w:t>
      </w:r>
      <w:proofErr w:type="gramEnd"/>
    </w:p>
    <w:p w:rsidR="00F927D7" w:rsidRDefault="00F927D7">
      <w:pPr>
        <w:pStyle w:val="ConsPlusNormal"/>
        <w:spacing w:before="220"/>
        <w:ind w:firstLine="540"/>
        <w:jc w:val="both"/>
      </w:pPr>
      <w:r>
        <w:t xml:space="preserve">к) Имеются заказы или подрядные работы, оформленные на </w:t>
      </w:r>
      <w:proofErr w:type="spellStart"/>
      <w:r>
        <w:t>самозанятых</w:t>
      </w:r>
      <w:proofErr w:type="spellEnd"/>
      <w:r>
        <w:t xml:space="preserve"> граждан или ИП, которые ранее были работниками данного работодателя.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9. Для выявления рисков наличия неформальной занятости в хозяйствующих субъектах целесообразно использовать следующие факторы, свидетельствующие о наличии трудовых отношений с работником: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- устойчивый и стабильный характер этих отношений;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- подчиненность и зависимость труда;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- выполнение работником работы только по определенной специальности, квалификации или должности;</w:t>
      </w:r>
    </w:p>
    <w:p w:rsidR="00F927D7" w:rsidRDefault="00F927D7">
      <w:pPr>
        <w:pStyle w:val="ConsPlusNormal"/>
        <w:spacing w:before="220"/>
        <w:ind w:firstLine="540"/>
        <w:jc w:val="both"/>
      </w:pPr>
      <w:proofErr w:type="gramStart"/>
      <w:r>
        <w:t>- наличие дополнительных гарантий работнику, помимо установленных законами, иными нормативными правовыми актами, регулирующими трудовые отношения;</w:t>
      </w:r>
      <w:proofErr w:type="gramEnd"/>
    </w:p>
    <w:p w:rsidR="00F927D7" w:rsidRDefault="00F927D7">
      <w:pPr>
        <w:pStyle w:val="ConsPlusNormal"/>
        <w:spacing w:before="220"/>
        <w:ind w:firstLine="540"/>
        <w:jc w:val="both"/>
      </w:pPr>
      <w:r>
        <w:lastRenderedPageBreak/>
        <w:t>- интегрированность работника в организационную структуру работодателя;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- признание работодателем таких прав работника, как еженедельные выходные дни и ежегодный отпуск;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- оплата работодателем расходов, связанных с поездками работника в целях выполнения работы;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- осуществление периодических выплат работнику, которые являются для него единственным и (или) основным источником доходов;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- предоставление инструментов, материалов и механизмов работодателем, за исключением предоставления в аренду неиспользуемого имущества и оборудования;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- оформленный постоянный пропуск на территорию работодателя;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- журнал регистрации прихода-ухода работников на работу;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- документы кадровой деятельности работодателя: графики работы (сменности), графики отпусков, документы о направлении работника в командировку;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- договор о полной материальной ответственности работника;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- расчетные листы о начислении заработной платы, ведомости выдачи денежных средств;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- путевые листы, заявки на перевозку груза;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- акты о выполненных работах;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- журнал посетителей;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>- документы по охране труда.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 xml:space="preserve">10. </w:t>
      </w:r>
      <w:proofErr w:type="gramStart"/>
      <w:r>
        <w:t>В субъекте Российской Федерации рекомендуется создание телефона "горячей линии" (электронного адреса, аккаунта в социальных сетях и др.), размещение в зданиях администраций, ЦЗН "почты доверия" для граждан, которые могут сообщить о фактах нарушения оформления трудовых отношений в хозяйствующих субъектах, а также "телефона доверия" для работодателей, сообщающих о фактах недобросовестной конкуренции в отрасли, допускаемой хозяйствующими субъектами с использованием механизмов "теневой" занятости.</w:t>
      </w:r>
      <w:proofErr w:type="gramEnd"/>
      <w:r>
        <w:t xml:space="preserve"> Необходима организация информирования о наличии данных ресурсов и популяризация их использования.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 xml:space="preserve">13. </w:t>
      </w:r>
      <w:proofErr w:type="gramStart"/>
      <w:r>
        <w:t>В субъекте Российской Федерации необходима организация мониторинга региональных и местных средств массовой информации и рекрутинговых площадок с целью получения информации о количестве объявлений по найму с разделением по сферам деятельности (ремонтные работы, строительство, репетиторские услуги и обучение, перевозки и т.п.) для дальнейшей организации проверок инспекцией труда или прокуратурой в зависимости от выявленной информации.</w:t>
      </w:r>
      <w:proofErr w:type="gramEnd"/>
    </w:p>
    <w:p w:rsidR="00F927D7" w:rsidRDefault="00F927D7">
      <w:pPr>
        <w:pStyle w:val="ConsPlusNormal"/>
        <w:spacing w:before="220"/>
        <w:ind w:firstLine="540"/>
        <w:jc w:val="both"/>
      </w:pPr>
      <w:r>
        <w:t>14. Уполномоченный орган инициирует проработку возможности стимулирования работодателей к снижению теневой занятости путем проработки критериев отбора предприятий и индивидуальных предпринимателей для оказания государственной поддержки за счет средств регионального бюджета, в том числе: уровень заработной платы выше средней заработной платы в регионе, участие в отраслевых хартиях по противодействию теневой занятости.</w:t>
      </w:r>
    </w:p>
    <w:p w:rsidR="00F927D7" w:rsidRDefault="00F927D7">
      <w:pPr>
        <w:pStyle w:val="ConsPlusNormal"/>
        <w:spacing w:before="220"/>
        <w:ind w:firstLine="540"/>
        <w:jc w:val="both"/>
      </w:pPr>
      <w:r>
        <w:t xml:space="preserve">15. Уполномоченный орган обеспечивает представление в </w:t>
      </w:r>
      <w:proofErr w:type="spellStart"/>
      <w:r>
        <w:t>Роструд</w:t>
      </w:r>
      <w:proofErr w:type="spellEnd"/>
      <w:r>
        <w:t xml:space="preserve"> данных мониторинга легализации теневой занятости в субъекте Российской Федерации по форме и в сроки, установленные </w:t>
      </w:r>
      <w:proofErr w:type="spellStart"/>
      <w:r>
        <w:t>Рострудом</w:t>
      </w:r>
      <w:proofErr w:type="spellEnd"/>
      <w:r>
        <w:t>.</w:t>
      </w:r>
    </w:p>
    <w:p w:rsidR="00657D7D" w:rsidRDefault="00F927D7" w:rsidP="00F927D7">
      <w:pPr>
        <w:pStyle w:val="ConsPlusNormal"/>
        <w:spacing w:before="220"/>
        <w:ind w:firstLine="540"/>
        <w:jc w:val="both"/>
      </w:pPr>
      <w:r>
        <w:t xml:space="preserve">16. </w:t>
      </w:r>
      <w:proofErr w:type="gramStart"/>
      <w:r>
        <w:t xml:space="preserve">Уполномоченный орган обеспечивает проведение регулярной сверки данных с территориальными органами Федеральной налоговой службы с целью подтверждения факта начисления налогов и сборов по легализованным лицам, а также направления акта сверки (содержащего, в том числе информацию о количестве граждан, по которым подтверждено начисление установленных налогов и сборов из общего количества легализованных граждан в отчетном периоде) в </w:t>
      </w:r>
      <w:proofErr w:type="spellStart"/>
      <w:r>
        <w:t>Роструд</w:t>
      </w:r>
      <w:proofErr w:type="spellEnd"/>
      <w:r>
        <w:t xml:space="preserve"> по установленной форме.</w:t>
      </w:r>
      <w:bookmarkStart w:id="1" w:name="_GoBack"/>
      <w:bookmarkEnd w:id="1"/>
      <w:proofErr w:type="gramEnd"/>
    </w:p>
    <w:sectPr w:rsidR="00657D7D" w:rsidSect="00F927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7D7"/>
    <w:rsid w:val="00657D7D"/>
    <w:rsid w:val="00BE589A"/>
    <w:rsid w:val="00F92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27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927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927D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27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927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927D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9026&amp;dst=10250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89271&amp;dst=100212" TargetMode="External"/><Relationship Id="rId5" Type="http://schemas.openxmlformats.org/officeDocument/2006/relationships/hyperlink" Target="https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2433</Words>
  <Characters>13872</Characters>
  <Application>Microsoft Office Word</Application>
  <DocSecurity>0</DocSecurity>
  <Lines>115</Lines>
  <Paragraphs>32</Paragraphs>
  <ScaleCrop>false</ScaleCrop>
  <Company/>
  <LinksUpToDate>false</LinksUpToDate>
  <CharactersWithSpaces>16273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Ю. Пешкова</dc:creator>
  <cp:lastModifiedBy>Ольга Ю. Пешкова</cp:lastModifiedBy>
  <cp:revision>1</cp:revision>
  <dcterms:created xsi:type="dcterms:W3CDTF">2026-06-30T09:29:00Z</dcterms:created>
  <dcterms:modified xsi:type="dcterms:W3CDTF">2026-06-30T09:31:00Z</dcterms:modified>
</cp:coreProperties>
</file>